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廊坊市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中共</w:t>
      </w:r>
      <w:r>
        <w:rPr>
          <w:rFonts w:hint="eastAsia" w:ascii="宋体" w:hAnsi="宋体" w:eastAsia="宋体"/>
          <w:b/>
          <w:sz w:val="36"/>
          <w:szCs w:val="36"/>
        </w:rPr>
        <w:t>大厂回族自治县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委政法委员会</w:t>
      </w:r>
    </w:p>
    <w:p>
      <w:pPr>
        <w:spacing w:line="220" w:lineRule="atLeas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财政专项扶贫资金信息公开情况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按照县财政局、县扶贫开发和脱贫工作领导小组办公室关于转发《廊坊市财政专项扶贫资金信息公开制度》的通知要求，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中共</w:t>
      </w:r>
      <w:r>
        <w:rPr>
          <w:rFonts w:hint="eastAsia" w:ascii="仿宋" w:hAnsi="仿宋" w:eastAsia="仿宋"/>
          <w:sz w:val="32"/>
          <w:szCs w:val="32"/>
        </w:rPr>
        <w:t>大厂回族自治县委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政法委</w:t>
      </w:r>
      <w:r>
        <w:rPr>
          <w:rFonts w:hint="eastAsia" w:ascii="仿宋" w:hAnsi="仿宋" w:eastAsia="仿宋"/>
          <w:sz w:val="32"/>
          <w:szCs w:val="32"/>
        </w:rPr>
        <w:t>员会将财政专项扶贫资金信息情况说明如下：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财政专项扶贫资金到位情况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按照县委组织部、扶贫办、财政局《关于列支县直帮扶责任单位扶贫慰问专项经费》的通知要求，2018年度我单位扶贫慰问专项经费共计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000元。2018年8月13日接到县财政局预算调整通知单（大财社2018-31号），2018年8月24日扶贫慰问专项经费额度下达至我单位零余额账户。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绩效预算信息情况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37"/>
        <w:gridCol w:w="1134"/>
        <w:gridCol w:w="602"/>
        <w:gridCol w:w="1241"/>
        <w:gridCol w:w="141"/>
        <w:gridCol w:w="567"/>
        <w:gridCol w:w="567"/>
        <w:gridCol w:w="567"/>
        <w:gridCol w:w="55"/>
        <w:gridCol w:w="512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预算项目绩效信息表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项目编码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2018016650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扶贫慰问专项经费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项目实施计划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慰问金分两种方式发放，一是节日慰问即每年春节和中秋节两次慰问，每次慰问标准为每户500元，二是日常慰问标准为每年每户1000元以内，可采取慰问金和慰问品相结合的方式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资金支出计划（%）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第一季度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第二季度</w:t>
            </w:r>
          </w:p>
        </w:tc>
        <w:tc>
          <w:tcPr>
            <w:tcW w:w="1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第三季度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第四季度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0.00</w:t>
            </w:r>
          </w:p>
        </w:tc>
        <w:tc>
          <w:tcPr>
            <w:tcW w:w="1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0.50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绩效目标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对扶贫慰问户进行多种形式走访慰问，保障贫困户慰问工作有效开展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绩效指标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分类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绩效指标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绩效指标描述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绩效指标评价标准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评价标准确定依据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差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产出指标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慰问金发放率（%）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实际发放的慰问金金额占计划发放金额的比率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≧95%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94%-85%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入户走访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慰问资金发放及时率（%）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已发放慰问金占应发放慰问金的比率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≧95%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94%-85%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入户走访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效果指标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扶贫慰问人员生活水平提升情况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受扶贫慰问人员生活、医疗、护理、教育水平提升情况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有一定程度的提升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稍有提升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基本无提升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完全无提升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入户走访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受助对象满意度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通过问卷调查，满意和较满意的受益对象占全部受益对象的比率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≧90%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90%-80%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70%-60%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60%以下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入户走访</w:t>
            </w:r>
          </w:p>
        </w:tc>
      </w:tr>
    </w:tbl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3" w:firstLineChars="20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三、帮扶贫困户有关情况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刘海丰有关情况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家庭情况。为深入贯彻落实县委、县政府关于强化精准扶贫工作的情况部署，我单位扶贫对象刘海丰一家。现将其基本情况做如下公示：刘海丰一家共有三口人，刘海丰本人因意外事故导致腿部残疾，现装有假肢，只能进行轻体力劳动，打散工。妻子去世多年，育有一子一女。儿子体弱多病，只能干些轻体力劳动。女儿患有精神分裂症，二级残疾，无劳动能力。现家庭经济来源为刘海丰一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打散工收入。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楷体"/>
          <w:b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四、扶贫专项资金支出情况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按照县委组织部、扶贫办、财政局《关于列支县直帮扶责任单位扶贫慰问专项经费》的通知要求，我单位坚持日常慰问与节日慰问相结合。2018年9月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日为贫困户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刘海丰</w:t>
      </w:r>
      <w:r>
        <w:rPr>
          <w:rFonts w:hint="eastAsia" w:ascii="仿宋" w:hAnsi="仿宋" w:eastAsia="仿宋"/>
          <w:sz w:val="32"/>
          <w:szCs w:val="32"/>
        </w:rPr>
        <w:t>送去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慰问</w:t>
      </w:r>
      <w:r>
        <w:rPr>
          <w:rFonts w:hint="eastAsia" w:ascii="仿宋" w:hAnsi="仿宋" w:eastAsia="仿宋"/>
          <w:sz w:val="32"/>
          <w:szCs w:val="32"/>
        </w:rPr>
        <w:t>金500元。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/>
          <w:sz w:val="32"/>
          <w:szCs w:val="32"/>
        </w:rPr>
        <w:t>慰问活动均《按照大厂回族自治县财政专项扶贫资金管理办法》通知要求在贫困户所在行政村进行了公示，并且建立了联签联审的“四联签确认”制度。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附件1、大厂回族自治县财政局预算调整通知单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2、财政授权支付额度到账通知书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3、大厂回族自治县财政扶贫资金四方联签单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4、公告、公示图片</w:t>
      </w:r>
    </w:p>
    <w:p>
      <w:pPr>
        <w:pStyle w:val="9"/>
        <w:spacing w:line="560" w:lineRule="exact"/>
        <w:ind w:left="1473" w:firstLine="0" w:firstLineChars="0"/>
        <w:jc w:val="both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4DC7"/>
    <w:multiLevelType w:val="multilevel"/>
    <w:tmpl w:val="27A04DC7"/>
    <w:lvl w:ilvl="0" w:tentative="0">
      <w:start w:val="1"/>
      <w:numFmt w:val="japaneseCounting"/>
      <w:lvlText w:val="%1、"/>
      <w:lvlJc w:val="left"/>
      <w:pPr>
        <w:ind w:left="1459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7649"/>
    <w:rsid w:val="001C20EE"/>
    <w:rsid w:val="00323B43"/>
    <w:rsid w:val="003D37D8"/>
    <w:rsid w:val="00426133"/>
    <w:rsid w:val="004358AB"/>
    <w:rsid w:val="0046230A"/>
    <w:rsid w:val="00482B68"/>
    <w:rsid w:val="0052558A"/>
    <w:rsid w:val="006F251B"/>
    <w:rsid w:val="007D6878"/>
    <w:rsid w:val="008B7726"/>
    <w:rsid w:val="008F267D"/>
    <w:rsid w:val="00920913"/>
    <w:rsid w:val="009457BE"/>
    <w:rsid w:val="009C015B"/>
    <w:rsid w:val="00A16166"/>
    <w:rsid w:val="00A815A0"/>
    <w:rsid w:val="00D31D50"/>
    <w:rsid w:val="00EB37FB"/>
    <w:rsid w:val="00EF4897"/>
    <w:rsid w:val="00F7767D"/>
    <w:rsid w:val="31A712C9"/>
    <w:rsid w:val="43A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1491</Characters>
  <Lines>12</Lines>
  <Paragraphs>3</Paragraphs>
  <TotalTime>2</TotalTime>
  <ScaleCrop>false</ScaleCrop>
  <LinksUpToDate>false</LinksUpToDate>
  <CharactersWithSpaces>1749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2018-11-08T08:11:30Z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